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255 vom 30. November 1979</w:t>
      </w:r>
    </w:p>
    <w:p>
      <w:r>
        <w:t>Bundesgericht (BGE), 1979-11-30, DE</w:t>
      </w:r>
    </w:p>
    <w:p>
      <w:r>
        <w:rPr>
          <w:b/>
        </w:rPr>
        <w:t xml:space="preserve">Quelle: </w:t>
      </w:r>
      <w:r>
        <w:t>https://mcp.opencaselaw.ch/entscheid/bge_105 IB 255</w:t>
      </w:r>
    </w:p>
    <w:p>
      <w:r>
        <w:t>FR: BGE 105 IB 255 du 30 novembre 1979</w:t>
      </w:r>
    </w:p>
    <w:p>
      <w:r>
        <w:t>IT: BGE 105 IB 255 del 30 novembre 1979</w:t>
      </w:r>
    </w:p>
    <w:p>
      <w:pPr>
        <w:pStyle w:val="Heading2"/>
      </w:pPr>
      <w:r>
        <w:t>Regeste</w:t>
      </w:r>
    </w:p>
    <w:p>
      <w:r>
        <w:t>Regeste Entzug des Führerausweises. 1. Verhältnis zwischen dem "mittelschweren Fall" gemäss Art. 16 Abs. 2, 1. Satz SVG und dem "leichten Fall" gemäss Art. 16 Abs. 2, 2. Satz SVG. Gesichtspunkte, nach denen die Frage des "leichten Falles" zu beurteilen ist (E. 2). 2. Die Frage, ob eine Verkehrsgefährdung "mittelschwer" im Sinne von Art. 16 Abs. 2, 1. Satz SVG oder "schwer" im Sinne von Art. 16 Abs. 3 lit. a SVG ist, darf in Grenzfällen und bei kurzer Entzugsdauer offen bleiben (E. 3); Art. 17 Abs. 1 lit. c SVG bleibt vorbehalten.</w:t>
      </w:r>
    </w:p>
    <w:p>
      <w:pPr>
        <w:pStyle w:val="Heading2"/>
      </w:pPr>
      <w:r>
        <w:t>Erwägungen</w:t>
      </w:r>
    </w:p>
    <w:p>
      <w:r>
        <w:rPr>
          <w:b/>
        </w:rPr>
        <w:t>E. 1</w:t>
      </w:r>
    </w:p>
    <w:p>
      <w:r>
        <w:t>Art. 16 Abs. 2 und 3 lit. a SVG lauten: "2 Der Führer- oder Lernfahrausweis kann entzogen werden, wenn der Führer Verkehrsregeln verletzt und dadurch den Verkehr gefährdet oder andere belästigt hat. In leichten Fällen kann eine Verwarnung ausgesprochen werden.</w:t>
      </w:r>
    </w:p>
    <w:p>
      <w:r>
        <w:rPr>
          <w:b/>
        </w:rPr>
        <w:t>E. 3</w:t>
      </w:r>
    </w:p>
    <w:p>
      <w:r>
        <w:t>Das Bundesamt für Polizeiwesen glaubt, der Entscheid der Vorinstanz sei von Amtes wegen aufzuheben, weil die Vorinstanz offen gelassen habe, ob ein nicht leichter, d.h. "mittelschwerer Fall", im Sinne von Art. 16 Abs. 2, 1. Satz SVG oder ein "schwerer Fall" im Sinne von Art. 16 Abs. 3 lit. a SVG vorliege. Dieses Offenlassen der Subsumtion unter Art. 16 Abs. 2 oder Art. 16 Abs. 3 SVG verletzt nach Ansicht des Bundesamtes Bundesrecht. Das Bundesamt weist darauf hin, dass die Unterscheidung zwischen dem fakultativen und dem obligatorischen Führerausweisentzug unter dem Gesichtspunkt des Art. 17 Abs. 1 lit. c SVG von entscheidender Bedeutung sein kann. Diese Vorschrift bestimmt, dass die Dauer des Führerausweisentzuges mindestens sechs Monate beträgt, wenn dem Führer der Ausweis wegen einer Widerhandlung entzogen werden muss, die er innert zwei Jahren seit Ablauf des letzten Entzuges begangen hat. Wie das Bundesgericht in BGE 102 Ib 282 zu dieser Bestimmung ausgeführt hat, ist sie anwendbar, wenn der zweite Entzug wegen der Schwere der Verkehrsgefährdung obligatorisch ist, gleichgültig, ob der frühere Ausweisentzug obligatorisch oder fakultativ war. Daraus ergibt sich, dass unter dem Gesichtspunkt von Art. 17 Abs. 1 lit. c SVG zur Frage, ob ein obligatorischer oder fakultativer Entzugsgrund vorliegt, nur Stellung bezogen werden muss, wenn der letzte Ausweisentzug vor weniger als zwei Jahren abgelaufen war. Im Falle der Beschwerdeführerin liegt kein solcher Fall vor, da ihr automobilistischer Leumund unbelastet ist. Das Bundesamt für Polizeiwesen glaubt jedoch, die Klärung, ob ein "schwerer" oder nur ein nicht leichter "mittelschwerer Fall" vorliegt, müsse gleichwohl entschieden werden, weil der automobilistische Leumund des Betroffenen im Hinblick auf allfällige künftige Verfehlungen unterschiedlich belastet werde, je nachdem man ihm vorwerfe, den Verkehr in schwerer oder BGE 105 Ib 255 S. 261 lediglich in nicht leichter, mittelschwerer Weise gefährdet zu haben. Das Bundesgericht hat jedoch selbst in zahlreichen Grenzfällen, welche eine kurze Entzugsdauer zum Gegenstand hatten, die Frage offen gelassen, ob dem Beschwerdeführer eine schwere oder nur eine mittelschwere Verkehrsgefährdung zur Last zu legen sei, und es hat sich mit der Feststellung begnügt, dass jedenfalls kein leichter Fall im Sinne von Art. 16 Abs. 2, 2. Satz vorliege (vgl. z.B. Urteile vom 22. Dezember 1978 i.S. Niklaus, vom 30. Juni 1978 i.S. Roth; vgl. auch BGE 104 Ib 52 E. 2b). Für diese Praxis lässt sich neben verfahrensökonomischen Gesichtspunkten anführen, dass für die Beurteilung des automobilistischen Leumundes mehr die Dauer früherer Ausweisentzüge ins Gewicht fällt als deren rechtliche Qualifikation. Die Unterscheidung spielt deshalb bei späterer neuer Beurteilung des Leumunds nur eine untergeordnete Rolle. Immerhin muss festgehalten werden, dass dem Betroffenen in einem späteren Verfahren die frühere Verfehlung nicht als schwere Verkehrsgefährdung angerechnet werden darf, wenn die rechtliche Qualifikation seinerzeit offen gelassen wurde; denn die entscheidende Instanz bringt mit dem Offenlassen zum Ausdruck, dass ihres Erachtens ein schwerer Fall nicht eindeutig erwiesen ist. Da der vorliegende Fall einerseits nicht leicht ist, sondern an der Grenze zwischen den mittelschweren Fällen und der schweren Verkehrsgefährdung liegt und die kantonalen Behörden anderseits den Ausweis auf die Minimaldauer eines Monates entzogen haben, kann ihnen keine Bundesrechtsverletzung vorgeworfen werden, wenn sie die Frage nach der Anwendung von Art. 16 Abs. 2 oder Abs. 3 lit. a SVG im vorliegenden Falle offen gelassen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